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Munkfors kommunfullmäktige</w:t>
      </w:r>
    </w:p>
    <w:p>
      <w:pPr>
        <w:pStyle w:val="Heading1"/>
      </w:pPr>
      <w:r>
        <w:t xml:space="preserve">Snabbare tillstånd och bättre företagsklimat i Munkfors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Munkfors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Munkfors rankas 248 av 290 i Svenskt Näringslivs företagsklimat 2024. Handläggningstider för bygglov och serveringstillstånd är längre än genomsnittet i Värmland.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Munkfors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handläggning av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skapa en årlig dialogdag mellan kommun och näringsliv.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resurser för digital ansökningsportal för tillstånd.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målet är att förbättra rankingen till topp 200 senast 2028.</w:t>
      </w:r>
    </w:p>
    <w:p>
      <w:pPr>
        <w:spacing w:before="360"/>
      </w:pPr>
    </w:p>
    <w:p>
      <w:r>
        <w:t xml:space="preserve">Munkfors,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Munkfors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2026-06-06T01:48:28.110Z</dcterms:created>
  <dcterms:modified xsi:type="dcterms:W3CDTF">2026-06-06T01:48:28.110Z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